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sz w:val="44"/>
          <w:szCs w:val="44"/>
        </w:rPr>
      </w:pPr>
      <w:r>
        <w:rPr>
          <w:rFonts w:hint="eastAsia" w:ascii="黑体" w:hAnsi="黑体" w:eastAsia="黑体" w:cs="黑体"/>
          <w:sz w:val="44"/>
          <w:szCs w:val="44"/>
          <w:lang w:val="en-US" w:eastAsia="zh-CN"/>
        </w:rPr>
        <w:t>西江镇2018年政府信息公开工作年度报告</w:t>
      </w:r>
    </w:p>
    <w:p>
      <w:pPr>
        <w:spacing w:line="220" w:lineRule="atLeast"/>
        <w:ind w:firstLine="640" w:firstLineChars="200"/>
        <w:jc w:val="both"/>
        <w:rPr>
          <w:rFonts w:hint="eastAsia" w:ascii="仿宋_GB2312" w:hAnsi="仿宋_GB2312" w:eastAsia="仿宋_GB2312" w:cs="仿宋_GB2312"/>
          <w:sz w:val="32"/>
          <w:szCs w:val="32"/>
          <w:lang w:val="en-US" w:eastAsia="zh-CN"/>
        </w:rPr>
      </w:pPr>
    </w:p>
    <w:p>
      <w:pPr>
        <w:spacing w:line="22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本报告由“基本工作情况”、“主动公开政府信息情况”、“回应解读情况”“依申请公开政府信息情况”、“行政复议和诉讼情况”、“政府信息公开的收费</w:t>
      </w:r>
      <w:r>
        <w:rPr>
          <w:rFonts w:hint="eastAsia" w:ascii="仿宋_GB2312" w:hAnsi="仿宋_GB2312" w:eastAsia="仿宋_GB2312" w:cs="仿宋_GB2312"/>
          <w:sz w:val="32"/>
          <w:szCs w:val="32"/>
        </w:rPr>
        <w:t>和减免情况</w:t>
      </w:r>
      <w:r>
        <w:rPr>
          <w:rFonts w:hint="eastAsia" w:ascii="仿宋_GB2312" w:hAnsi="仿宋_GB2312" w:eastAsia="仿宋_GB2312" w:cs="仿宋_GB2312"/>
          <w:sz w:val="32"/>
          <w:szCs w:val="32"/>
          <w:lang w:val="en-US" w:eastAsia="zh-CN"/>
        </w:rPr>
        <w:t>”、“政府信息公开工作存在的主要问题及改进情况”七个部分组成。所列数据截止日期为2018年12月31日，电子版可在通化县人民政府门户网站政府信息公开专栏下载。</w:t>
      </w:r>
    </w:p>
    <w:p>
      <w:pPr>
        <w:spacing w:line="220" w:lineRule="atLeas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一、基本工作情况</w:t>
      </w:r>
    </w:p>
    <w:p>
      <w:pPr>
        <w:spacing w:line="22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在通化市委、市政府的正确领导下，西江镇根据《中华人民共和国政府公开信息条例》（以下简称《条例》）精神，认真开展政府信息公开工作，充分发挥政府信息对人民群众生产、生活和经济社会活动的服务功能,紧紧围绕决策、执行、管理、服务、结果各个环节，细化政务公开工作任务，加大信息公开力度，不断增强了公开工作实效。</w:t>
      </w:r>
    </w:p>
    <w:p>
      <w:pPr>
        <w:keepNext w:val="0"/>
        <w:keepLines w:val="0"/>
        <w:pageBreakBefore w:val="0"/>
        <w:widowControl w:val="0"/>
        <w:tabs>
          <w:tab w:val="left" w:pos="720"/>
        </w:tabs>
        <w:kinsoku/>
        <w:wordWrap/>
        <w:overflowPunct/>
        <w:topLinePunct w:val="0"/>
        <w:autoSpaceDE/>
        <w:autoSpaceDN/>
        <w:bidi w:val="0"/>
        <w:adjustRightInd/>
        <w:snapToGrid w:val="0"/>
        <w:spacing w:line="576" w:lineRule="exact"/>
        <w:ind w:right="0" w:rightChars="0" w:firstLine="640" w:firstLineChars="200"/>
        <w:jc w:val="both"/>
        <w:textAlignment w:val="baseline"/>
        <w:outlineLvl w:val="9"/>
        <w:rPr>
          <w:rFonts w:hint="eastAsia" w:ascii="楷体" w:hAnsi="楷体" w:eastAsia="楷体" w:cs="楷体"/>
          <w:sz w:val="32"/>
          <w:szCs w:val="32"/>
        </w:rPr>
      </w:pPr>
      <w:r>
        <w:rPr>
          <w:rFonts w:hint="eastAsia" w:ascii="楷体" w:hAnsi="楷体" w:eastAsia="楷体" w:cs="楷体"/>
          <w:sz w:val="32"/>
          <w:szCs w:val="32"/>
        </w:rPr>
        <w:t>（一）建立健全领导体制和工作机构</w:t>
      </w:r>
    </w:p>
    <w:p>
      <w:pPr>
        <w:keepNext w:val="0"/>
        <w:keepLines w:val="0"/>
        <w:pageBreakBefore w:val="0"/>
        <w:widowControl w:val="0"/>
        <w:tabs>
          <w:tab w:val="left" w:pos="720"/>
        </w:tabs>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为加强镇政府信息公开工作的组织领导，</w:t>
      </w:r>
      <w:r>
        <w:rPr>
          <w:rFonts w:hint="eastAsia" w:ascii="仿宋_GB2312" w:hAnsi="仿宋_GB2312" w:eastAsia="仿宋_GB2312" w:cs="仿宋_GB2312"/>
          <w:sz w:val="32"/>
          <w:szCs w:val="32"/>
          <w:lang w:eastAsia="zh-CN"/>
        </w:rPr>
        <w:t>西江镇</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政府信息公开领导</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小组，由</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rPr>
        <w:t>书记任组长，分管副书记为副组长，</w:t>
      </w:r>
      <w:r>
        <w:rPr>
          <w:rFonts w:hint="eastAsia" w:ascii="仿宋_GB2312" w:hAnsi="仿宋_GB2312" w:eastAsia="仿宋_GB2312" w:cs="仿宋_GB2312"/>
          <w:sz w:val="32"/>
          <w:szCs w:val="32"/>
          <w:lang w:eastAsia="zh-CN"/>
        </w:rPr>
        <w:t>各相关办公室负责人为成员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党政办公室为政府信息公开工作受理机构。</w:t>
      </w:r>
      <w:r>
        <w:rPr>
          <w:rFonts w:hint="eastAsia" w:ascii="仿宋_GB2312" w:hAnsi="仿宋_GB2312" w:eastAsia="仿宋_GB2312" w:cs="仿宋_GB2312"/>
          <w:sz w:val="32"/>
          <w:szCs w:val="32"/>
        </w:rPr>
        <w:t>从事政府信息公开工作的专职人员1名，兼职人员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，负责信息公开的收集、审核和发布。</w:t>
      </w:r>
      <w:r>
        <w:rPr>
          <w:rFonts w:hint="eastAsia" w:ascii="仿宋_GB2312" w:hAnsi="仿宋_GB2312" w:eastAsia="仿宋_GB2312" w:cs="仿宋_GB2312"/>
          <w:sz w:val="32"/>
          <w:szCs w:val="32"/>
        </w:rPr>
        <w:t>领导小组不定期对党政办政府信息公开进行督查，做到公开办事程序和办事结果。</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楷体" w:hAnsi="楷体" w:eastAsia="楷体" w:cs="楷体"/>
          <w:sz w:val="32"/>
          <w:szCs w:val="32"/>
        </w:rPr>
      </w:pPr>
      <w:r>
        <w:rPr>
          <w:rFonts w:hint="eastAsia" w:ascii="楷体" w:hAnsi="楷体" w:eastAsia="楷体" w:cs="楷体"/>
          <w:sz w:val="32"/>
          <w:szCs w:val="32"/>
        </w:rPr>
        <w:t>（二）科学编制政府信息公开指南和公开目录</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根据县人民政府工作部署，我镇参照《条例》的有关规定，结合单位的工作实际，整理提供相关材料，编制了《西江镇人民政府信息公开指南》和《西江镇人民政府信息公开目录》。201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年积极参加县里组织的各项学习培训。组织西江镇政府信息公开领导小组学习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次，组织相关工作人员培训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次。制定实施方案，做好清理政府信息工作和信息录入工作。201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年清理政府信息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，完成信息录入</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楷体" w:hAnsi="楷体" w:eastAsia="楷体" w:cs="楷体"/>
          <w:sz w:val="32"/>
          <w:szCs w:val="32"/>
        </w:rPr>
      </w:pPr>
      <w:r>
        <w:rPr>
          <w:rFonts w:hint="eastAsia" w:ascii="楷体" w:hAnsi="楷体" w:eastAsia="楷体" w:cs="楷体"/>
          <w:sz w:val="32"/>
          <w:szCs w:val="32"/>
        </w:rPr>
        <w:t>（一）公开的数量</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年12月31日，累计主动公开政府信息的数量</w:t>
      </w:r>
      <w:r>
        <w:rPr>
          <w:rFonts w:hint="eastAsia" w:ascii="仿宋_GB2312" w:hAnsi="仿宋_GB2312" w:eastAsia="仿宋_GB2312" w:cs="仿宋_GB2312"/>
          <w:sz w:val="32"/>
          <w:szCs w:val="32"/>
          <w:lang w:val="en-US" w:eastAsia="zh-CN"/>
        </w:rPr>
        <w:t>173条</w:t>
      </w:r>
      <w:r>
        <w:rPr>
          <w:rFonts w:hint="eastAsia" w:ascii="仿宋_GB2312" w:hAnsi="仿宋_GB2312" w:eastAsia="仿宋_GB2312" w:cs="仿宋_GB2312"/>
          <w:sz w:val="32"/>
          <w:szCs w:val="32"/>
        </w:rPr>
        <w:t>。其中，网上公开信息的数量</w:t>
      </w:r>
      <w:r>
        <w:rPr>
          <w:rFonts w:hint="eastAsia" w:ascii="仿宋_GB2312" w:hAnsi="仿宋_GB2312" w:eastAsia="仿宋_GB2312" w:cs="仿宋_GB2312"/>
          <w:sz w:val="32"/>
          <w:szCs w:val="32"/>
          <w:lang w:val="en-US" w:eastAsia="zh-CN"/>
        </w:rPr>
        <w:t>75条</w:t>
      </w:r>
      <w:r>
        <w:rPr>
          <w:rFonts w:hint="eastAsia" w:ascii="仿宋_GB2312" w:hAnsi="仿宋_GB2312" w:eastAsia="仿宋_GB2312" w:cs="仿宋_GB2312"/>
          <w:sz w:val="32"/>
          <w:szCs w:val="32"/>
        </w:rPr>
        <w:t>，所占比</w:t>
      </w:r>
      <w:r>
        <w:rPr>
          <w:rFonts w:hint="eastAsia" w:ascii="仿宋_GB2312" w:hAnsi="仿宋_GB2312" w:eastAsia="仿宋_GB2312" w:cs="仿宋_GB2312"/>
          <w:sz w:val="32"/>
          <w:szCs w:val="32"/>
          <w:lang w:val="en-US" w:eastAsia="zh-CN"/>
        </w:rPr>
        <w:t>43.3%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394335</wp:posOffset>
            </wp:positionH>
            <wp:positionV relativeFrom="paragraph">
              <wp:posOffset>304800</wp:posOffset>
            </wp:positionV>
            <wp:extent cx="4451985" cy="3020060"/>
            <wp:effectExtent l="4445" t="5080" r="20320" b="228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楷体" w:hAnsi="楷体" w:eastAsia="楷体" w:cs="楷体"/>
          <w:sz w:val="32"/>
          <w:szCs w:val="32"/>
        </w:rPr>
      </w:pPr>
      <w:r>
        <w:rPr>
          <w:rFonts w:hint="eastAsia" w:ascii="楷体" w:hAnsi="楷体" w:eastAsia="楷体" w:cs="楷体"/>
          <w:sz w:val="32"/>
          <w:szCs w:val="32"/>
        </w:rPr>
        <w:t>公开的内容</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2018年，我镇主动公开的政府信息主要包括领导分工、工作职能、内设机构、基本概述、工作展示等五类。</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right="0" w:rightChars="0" w:firstLine="629" w:firstLineChars="0"/>
        <w:jc w:val="both"/>
        <w:textAlignment w:val="baseline"/>
        <w:outlineLvl w:val="9"/>
        <w:rPr>
          <w:rFonts w:hint="eastAsia" w:ascii="楷体" w:hAnsi="楷体" w:eastAsia="楷体" w:cs="楷体"/>
          <w:sz w:val="32"/>
          <w:szCs w:val="32"/>
        </w:rPr>
      </w:pPr>
      <w:r>
        <w:rPr>
          <w:rFonts w:hint="eastAsia" w:ascii="楷体" w:hAnsi="楷体" w:eastAsia="楷体" w:cs="楷体"/>
          <w:sz w:val="32"/>
          <w:szCs w:val="32"/>
        </w:rPr>
        <w:t>公开的形式</w:t>
      </w:r>
    </w:p>
    <w:p>
      <w:pPr>
        <w:keepNext w:val="0"/>
        <w:keepLines w:val="0"/>
        <w:pageBreakBefore w:val="0"/>
        <w:widowControl w:val="0"/>
        <w:kinsoku/>
        <w:wordWrap/>
        <w:overflowPunct/>
        <w:topLinePunct w:val="0"/>
        <w:autoSpaceDE/>
        <w:autoSpaceDN/>
        <w:bidi w:val="0"/>
        <w:adjustRightInd/>
        <w:snapToGrid w:val="0"/>
        <w:spacing w:line="576" w:lineRule="exact"/>
        <w:ind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开渠道方面，政府网站是我镇政府信息公开的第一平台，全年通过网站发布信息75条。政府公报公开政府信息数0条，政府网站公开政府信息数75条，政务微博公开政府信息数0条，政务微信公开政府信息数0条。通过报刊、电视等新闻媒体和镇村公示栏，及时宣传报道我镇重大事件、重要政务活动、重点项目建设等经济社会发展情况。全年在吉林日报发稿2篇，通化日报发稿25篇，在各村设置信息公开栏11处，为群众了解政府信息、监督政府工作提供了极大地方便。</w:t>
      </w:r>
    </w:p>
    <w:tbl>
      <w:tblPr>
        <w:tblStyle w:val="3"/>
        <w:tblW w:w="8332" w:type="dxa"/>
        <w:jc w:val="center"/>
        <w:tblInd w:w="95"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76"/>
        <w:gridCol w:w="1276"/>
        <w:gridCol w:w="1399"/>
        <w:gridCol w:w="1397"/>
        <w:gridCol w:w="1431"/>
        <w:gridCol w:w="155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52"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公开渠</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道、方式</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政府公报</w:t>
            </w:r>
          </w:p>
        </w:tc>
        <w:tc>
          <w:tcPr>
            <w:tcW w:w="1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政府网站</w:t>
            </w:r>
          </w:p>
        </w:tc>
        <w:tc>
          <w:tcPr>
            <w:tcW w:w="13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政务微博</w:t>
            </w:r>
          </w:p>
        </w:tc>
        <w:tc>
          <w:tcPr>
            <w:tcW w:w="14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政务微信</w:t>
            </w:r>
          </w:p>
        </w:tc>
        <w:tc>
          <w:tcPr>
            <w:tcW w:w="15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其他方式</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12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数 量</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39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75</w:t>
            </w:r>
          </w:p>
        </w:tc>
        <w:tc>
          <w:tcPr>
            <w:tcW w:w="139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43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5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1276" w:type="dxa"/>
            <w:tcBorders>
              <w:top w:val="nil"/>
              <w:left w:val="single" w:color="auto" w:sz="8" w:space="0"/>
              <w:bottom w:val="nil"/>
              <w:right w:val="single" w:color="auto" w:sz="8" w:space="0"/>
            </w:tcBorders>
            <w:shd w:val="clear" w:color="auto" w:fill="auto"/>
            <w:tcMar>
              <w:left w:w="108" w:type="dxa"/>
              <w:right w:w="108" w:type="dxa"/>
            </w:tcMar>
            <w:vAlign w:val="top"/>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百分比</w:t>
            </w:r>
          </w:p>
        </w:tc>
        <w:tc>
          <w:tcPr>
            <w:tcW w:w="1276" w:type="dxa"/>
            <w:tcBorders>
              <w:top w:val="nil"/>
              <w:left w:val="nil"/>
              <w:bottom w:val="nil"/>
              <w:right w:val="single" w:color="auto" w:sz="8" w:space="0"/>
            </w:tcBorders>
            <w:shd w:val="clear" w:color="auto" w:fill="auto"/>
            <w:tcMar>
              <w:left w:w="108" w:type="dxa"/>
              <w:right w:w="108" w:type="dxa"/>
            </w:tcMar>
            <w:vAlign w:val="top"/>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399" w:type="dxa"/>
            <w:tcBorders>
              <w:top w:val="nil"/>
              <w:left w:val="nil"/>
              <w:bottom w:val="nil"/>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43.3%</w:t>
            </w:r>
          </w:p>
        </w:tc>
        <w:tc>
          <w:tcPr>
            <w:tcW w:w="1397" w:type="dxa"/>
            <w:tcBorders>
              <w:top w:val="nil"/>
              <w:left w:val="nil"/>
              <w:bottom w:val="nil"/>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431" w:type="dxa"/>
            <w:tcBorders>
              <w:top w:val="nil"/>
              <w:left w:val="nil"/>
              <w:bottom w:val="nil"/>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553" w:type="dxa"/>
            <w:tcBorders>
              <w:top w:val="nil"/>
              <w:left w:val="nil"/>
              <w:bottom w:val="nil"/>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56.7%</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127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spacing w:line="220" w:lineRule="atLeast"/>
              <w:rPr>
                <w:rFonts w:hint="eastAsia" w:ascii="仿宋_GB2312" w:hAnsi="仿宋_GB2312" w:eastAsia="仿宋_GB2312" w:cs="仿宋_GB2312"/>
                <w:sz w:val="32"/>
                <w:szCs w:val="32"/>
                <w:lang w:val="en-US" w:eastAsia="zh-CN"/>
              </w:rPr>
            </w:pPr>
          </w:p>
        </w:tc>
        <w:tc>
          <w:tcPr>
            <w:tcW w:w="1276"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220" w:lineRule="atLeast"/>
              <w:rPr>
                <w:rFonts w:hint="eastAsia" w:ascii="仿宋_GB2312" w:hAnsi="仿宋_GB2312" w:eastAsia="仿宋_GB2312" w:cs="仿宋_GB2312"/>
                <w:sz w:val="32"/>
                <w:szCs w:val="32"/>
                <w:lang w:val="en-US" w:eastAsia="zh-CN"/>
              </w:rPr>
            </w:pPr>
          </w:p>
        </w:tc>
        <w:tc>
          <w:tcPr>
            <w:tcW w:w="139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eastAsia="zh-CN"/>
              </w:rPr>
            </w:pPr>
          </w:p>
        </w:tc>
        <w:tc>
          <w:tcPr>
            <w:tcW w:w="139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eastAsia="zh-CN"/>
              </w:rPr>
            </w:pPr>
          </w:p>
        </w:tc>
        <w:tc>
          <w:tcPr>
            <w:tcW w:w="143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eastAsia="zh-CN"/>
              </w:rPr>
            </w:pPr>
          </w:p>
        </w:tc>
        <w:tc>
          <w:tcPr>
            <w:tcW w:w="15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20" w:lineRule="atLeast"/>
              <w:rPr>
                <w:rFonts w:hint="eastAsia" w:ascii="仿宋_GB2312" w:hAnsi="仿宋_GB2312" w:eastAsia="仿宋_GB2312" w:cs="仿宋_GB2312"/>
                <w:sz w:val="32"/>
                <w:szCs w:val="32"/>
                <w:lang w:val="en-US" w:eastAsia="zh-CN"/>
              </w:rPr>
            </w:pPr>
          </w:p>
        </w:tc>
      </w:tr>
    </w:tbl>
    <w:p>
      <w:pPr>
        <w:spacing w:line="220" w:lineRule="atLeast"/>
        <w:rPr>
          <w:rFonts w:hint="eastAsia"/>
          <w:lang w:val="en-US" w:eastAsia="zh-CN"/>
        </w:rPr>
      </w:pPr>
      <w:r>
        <w:rPr>
          <w:rFonts w:hint="eastAsia"/>
          <w:lang w:val="en-US" w:eastAsia="zh-CN"/>
        </w:rPr>
        <w:drawing>
          <wp:inline distT="0" distB="0" distL="114300" distR="114300">
            <wp:extent cx="5279390" cy="2104390"/>
            <wp:effectExtent l="4445" t="4445" r="1206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2018年政府公开信息不同渠道统计图</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楷体" w:hAnsi="楷体" w:eastAsia="楷体" w:cs="楷体"/>
          <w:sz w:val="32"/>
          <w:szCs w:val="32"/>
        </w:rPr>
        <w:t>（四）公开的及时性</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文件信息从生成到网上公开不超过20个工作日的数量</w:t>
      </w:r>
      <w:r>
        <w:rPr>
          <w:rFonts w:hint="eastAsia" w:ascii="仿宋_GB2312" w:hAnsi="仿宋_GB2312" w:eastAsia="仿宋_GB2312" w:cs="仿宋_GB2312"/>
          <w:sz w:val="32"/>
          <w:szCs w:val="32"/>
          <w:lang w:val="en-US" w:eastAsia="zh-CN"/>
        </w:rPr>
        <w:t>75条，所占比例100%。</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三、回应解读情况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2018年我镇共收到5条投诉咨询信息，其中领导信箱4条，我来说点事1条。全部信息已及时予以回复。</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四、依申请公开政府信息情况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eastAsia="zh-CN"/>
        </w:rPr>
        <w:t>全镇共受理政府信息公开申请</w:t>
      </w:r>
      <w:r>
        <w:rPr>
          <w:rFonts w:hint="eastAsia" w:ascii="仿宋_GB2312" w:hAnsi="仿宋_GB2312" w:eastAsia="仿宋_GB2312" w:cs="仿宋_GB2312"/>
          <w:sz w:val="32"/>
          <w:szCs w:val="32"/>
          <w:lang w:val="en-US" w:eastAsia="zh-CN"/>
        </w:rPr>
        <w:t>0件。</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五、行政复议、诉讼和申诉情况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2018年全镇未收到有关政府信息公开事务的行政复议申请。全镇未发生有关政府信息公开事务的行政诉讼案件。</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9"/>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六、政府信息公开的收费和减免情况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2018年全镇未发生与政府信息公开的收费。</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七、主要问题和改进措施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2018年我镇政府信息工作取得了新的进展，但是政府机关主动公开政府信息内容与公众的需求还存在一定的差距，公开形式便民式需要进一步提高。结合工作中存在的问题和不足，要从以下三个方面进行改进：</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进一步强化学习。引导工作人员提高对政府信息公开工作重要性和必要性的认识，把信息公开工作列入重要议事日程，作为提高办事效率、促进机关作风进一步好转的重要途径，加强培训努力抓紧抓好抓出成效，组织各下属机构工作人员深入学习《政府信息公开条例》及相关文件精神，务必使大家掌握信息公开的程序和各种文书的正确使用。</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强调深化内容。在信息公开符合保密规定、公开的范围允许的范围的前提下，对信息公开的内容进一步深化，对《公开目录》进行补充和更新，丰富信息公开内容，有效扩大信息公开的影响力，更好地服务于社会。</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三是加强督查。组织人员对信息公开进行自查，督促抓落实，并将此项工作纳入年终考核，加大推行信息公开工作的力度。</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76" w:lineRule="exact"/>
        <w:ind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西江镇人民政府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outlineLvl w:val="9"/>
      </w:pPr>
      <w:r>
        <w:rPr>
          <w:rFonts w:hint="eastAsia" w:ascii="仿宋_GB2312" w:hAnsi="仿宋_GB2312" w:eastAsia="仿宋_GB2312" w:cs="仿宋_GB2312"/>
          <w:sz w:val="32"/>
          <w:szCs w:val="32"/>
          <w:lang w:val="en-US" w:eastAsia="zh-CN"/>
        </w:rPr>
        <w:t xml:space="preserve">                               2018年12月31日</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3F51"/>
    <w:multiLevelType w:val="singleLevel"/>
    <w:tmpl w:val="56A03F5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13621"/>
    <w:rsid w:val="0C917F7E"/>
    <w:rsid w:val="0F4A5EC3"/>
    <w:rsid w:val="10E54156"/>
    <w:rsid w:val="11B91044"/>
    <w:rsid w:val="1D1C0977"/>
    <w:rsid w:val="20B93679"/>
    <w:rsid w:val="2B8D5C5F"/>
    <w:rsid w:val="2D862F34"/>
    <w:rsid w:val="49EC313B"/>
    <w:rsid w:val="5DB37137"/>
    <w:rsid w:val="663B7F43"/>
    <w:rsid w:val="6ACD0BA1"/>
    <w:rsid w:val="6FAC0425"/>
    <w:rsid w:val="70F5258E"/>
    <w:rsid w:val="79A136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西江镇信息公开总数201</a:t>
            </a:r>
            <a:r>
              <a:rPr lang="en-US" altLang="zh-CN"/>
              <a:t>4</a:t>
            </a:r>
            <a:r>
              <a:t>年--201</a:t>
            </a:r>
            <a:r>
              <a:rPr lang="en-US" altLang="zh-CN"/>
              <a:t>8</a:t>
            </a:r>
            <a:r>
              <a:t>年数据统计表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主动公开政府信息（条）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Sheet1!$A$2:$A$6</c:f>
              <c:strCache>
                <c:ptCount val="5"/>
                <c:pt idx="0">
                  <c:v>2014年</c:v>
                </c:pt>
                <c:pt idx="1">
                  <c:v>2015年</c:v>
                </c:pt>
                <c:pt idx="2">
                  <c:v>2016年</c:v>
                </c:pt>
                <c:pt idx="3">
                  <c:v>2017年</c:v>
                </c:pt>
                <c:pt idx="4">
                  <c:v>2018年</c:v>
                </c:pt>
              </c:strCache>
            </c:strRef>
          </c:cat>
          <c:val>
            <c:numRef>
              <c:f>Sheet1!$B$2:$B$6</c:f>
              <c:numCache>
                <c:formatCode>General</c:formatCode>
                <c:ptCount val="5"/>
                <c:pt idx="0">
                  <c:v>90</c:v>
                </c:pt>
                <c:pt idx="1">
                  <c:v>150</c:v>
                </c:pt>
                <c:pt idx="2">
                  <c:v>161</c:v>
                </c:pt>
                <c:pt idx="3">
                  <c:v>50</c:v>
                </c:pt>
                <c:pt idx="4">
                  <c:v>173</c:v>
                </c:pt>
              </c:numCache>
            </c:numRef>
          </c:val>
        </c:ser>
        <c:ser>
          <c:idx val="1"/>
          <c:order val="1"/>
          <c:tx>
            <c:strRef>
              <c:f>Sheet1!$C$1</c:f>
              <c:strCache>
                <c:ptCount val="1"/>
                <c:pt idx="0">
                  <c:v>网上公开信息数（条）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Sheet1!$A$2:$A$6</c:f>
              <c:strCache>
                <c:ptCount val="5"/>
                <c:pt idx="0">
                  <c:v>2014年</c:v>
                </c:pt>
                <c:pt idx="1">
                  <c:v>2015年</c:v>
                </c:pt>
                <c:pt idx="2">
                  <c:v>2016年</c:v>
                </c:pt>
                <c:pt idx="3">
                  <c:v>2017年</c:v>
                </c:pt>
                <c:pt idx="4">
                  <c:v>2018年</c:v>
                </c:pt>
              </c:strCache>
            </c:strRef>
          </c:cat>
          <c:val>
            <c:numRef>
              <c:f>Sheet1!$C$2:$C$6</c:f>
              <c:numCache>
                <c:formatCode>General</c:formatCode>
                <c:ptCount val="5"/>
                <c:pt idx="0">
                  <c:v>82</c:v>
                </c:pt>
                <c:pt idx="1">
                  <c:v>134</c:v>
                </c:pt>
                <c:pt idx="2">
                  <c:v>161</c:v>
                </c:pt>
                <c:pt idx="3">
                  <c:v>50</c:v>
                </c:pt>
                <c:pt idx="4">
                  <c:v>75</c:v>
                </c:pt>
              </c:numCache>
            </c:numRef>
          </c:val>
        </c:ser>
        <c:dLbls>
          <c:showLegendKey val="0"/>
          <c:showVal val="0"/>
          <c:showCatName val="0"/>
          <c:showSerName val="0"/>
          <c:showPercent val="0"/>
          <c:showBubbleSize val="0"/>
        </c:dLbls>
        <c:gapWidth val="75"/>
        <c:overlap val="0"/>
        <c:axId val="572928823"/>
        <c:axId val="310147707"/>
      </c:barChart>
      <c:lineChart>
        <c:grouping val="standard"/>
        <c:varyColors val="0"/>
        <c:ser>
          <c:idx val="2"/>
          <c:order val="2"/>
          <c:tx>
            <c:strRef>
              <c:f>"占比"</c:f>
              <c:strCache>
                <c:ptCount val="1"/>
                <c:pt idx="0">
                  <c:v>占比</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delete val="1"/>
          </c:dLbls>
          <c:trendline>
            <c:spPr>
              <a:ln w="19050" cap="rnd">
                <a:solidFill>
                  <a:schemeClr val="accent3"/>
                </a:solidFill>
                <a:prstDash val="sysDash"/>
              </a:ln>
              <a:effectLst/>
            </c:spPr>
            <c:trendlineType val="linear"/>
            <c:dispRSqr val="0"/>
            <c:dispEq val="0"/>
          </c:trendline>
          <c:trendline>
            <c:spPr>
              <a:ln w="19050" cap="rnd">
                <a:solidFill>
                  <a:schemeClr val="accent3"/>
                </a:solidFill>
                <a:prstDash val="sysDash"/>
              </a:ln>
              <a:effectLst/>
            </c:spPr>
            <c:trendlineType val="linear"/>
            <c:dispRSqr val="0"/>
            <c:dispEq val="0"/>
          </c:trendline>
          <c:trendline>
            <c:spPr>
              <a:ln w="19050" cap="rnd">
                <a:solidFill>
                  <a:schemeClr val="accent3"/>
                </a:solidFill>
                <a:prstDash val="sysDash"/>
              </a:ln>
              <a:effectLst/>
            </c:spPr>
            <c:trendlineType val="linear"/>
            <c:dispRSqr val="0"/>
            <c:dispEq val="0"/>
          </c:trendline>
          <c:cat>
            <c:strRef>
              <c:f>Sheet1!$A$2:$A$6</c:f>
              <c:strCache>
                <c:ptCount val="5"/>
                <c:pt idx="0">
                  <c:v>2014年</c:v>
                </c:pt>
                <c:pt idx="1">
                  <c:v>2015年</c:v>
                </c:pt>
                <c:pt idx="2">
                  <c:v>2016年</c:v>
                </c:pt>
                <c:pt idx="3">
                  <c:v>2017年</c:v>
                </c:pt>
                <c:pt idx="4">
                  <c:v>2018年</c:v>
                </c:pt>
              </c:strCache>
            </c:strRef>
          </c:cat>
          <c:val>
            <c:numRef>
              <c:f>{1}</c:f>
              <c:numCache>
                <c:formatCode>General</c:formatCode>
                <c:ptCount val="1"/>
                <c:pt idx="0">
                  <c:v>1</c:v>
                </c:pt>
              </c:numCache>
            </c:numRef>
          </c:val>
          <c:smooth val="0"/>
        </c:ser>
        <c:dLbls>
          <c:showLegendKey val="0"/>
          <c:showVal val="0"/>
          <c:showCatName val="0"/>
          <c:showSerName val="0"/>
          <c:showPercent val="0"/>
          <c:showBubbleSize val="0"/>
        </c:dLbls>
        <c:marker val="0"/>
        <c:smooth val="0"/>
        <c:axId val="572928823"/>
        <c:axId val="310147707"/>
      </c:lineChart>
      <c:catAx>
        <c:axId val="572928823"/>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10147707"/>
        <c:crosses val="autoZero"/>
        <c:auto val="1"/>
        <c:lblAlgn val="ctr"/>
        <c:lblOffset val="100"/>
        <c:noMultiLvlLbl val="0"/>
      </c:catAx>
      <c:valAx>
        <c:axId val="31014770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72928823"/>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0.197219069239501"/>
          <c:y val="0.931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0"/>
    <c:dispBlanksAs val="span"/>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政府网站</c:v>
                </c:pt>
                <c:pt idx="1">
                  <c:v>其他方式</c:v>
                </c:pt>
              </c:strCache>
            </c:strRef>
          </c:cat>
          <c:val>
            <c:numRef>
              <c:f>Sheet1!$B$2:$B$3</c:f>
              <c:numCache>
                <c:formatCode>General</c:formatCode>
                <c:ptCount val="2"/>
                <c:pt idx="0">
                  <c:v>75</c:v>
                </c:pt>
                <c:pt idx="1">
                  <c:v>173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2019-03-12T01:12:00Z</dcterms:created>
  <dc:creator>亦然</dc:creator>
  <cp:lastModifiedBy>亦然</cp:lastModifiedBy>
  <dcterms:modified xsi:type="dcterms:W3CDTF">2019-03-12T01:39:35Z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